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80"/>
        <w:gridCol w:w="1979"/>
        <w:gridCol w:w="567"/>
        <w:gridCol w:w="3402"/>
      </w:tblGrid>
      <w:tr w:rsidR="00BC5856" w:rsidTr="00295865">
        <w:trPr>
          <w:trHeight w:val="567"/>
        </w:trPr>
        <w:tc>
          <w:tcPr>
            <w:tcW w:w="680" w:type="dxa"/>
            <w:hideMark/>
          </w:tcPr>
          <w:p w:rsidR="00EA466A" w:rsidRDefault="00190804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Rīgā</w:t>
            </w:r>
          </w:p>
        </w:tc>
        <w:tc>
          <w:tcPr>
            <w:tcW w:w="1979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EA466A" w:rsidRPr="00EA466A" w:rsidRDefault="00190804">
            <w:pPr>
              <w:spacing w:after="0" w:line="240" w:lineRule="auto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 w:rsidRPr="00EA466A">
              <w:rPr>
                <w:rFonts w:ascii="Times New Roman" w:hAnsi="Times New Roman"/>
                <w:spacing w:val="20"/>
              </w:rPr>
              <w:t xml:space="preserve">Datums skatāms </w:t>
            </w:r>
            <w:r w:rsidR="00295865">
              <w:rPr>
                <w:rFonts w:ascii="Times New Roman" w:hAnsi="Times New Roman"/>
                <w:spacing w:val="20"/>
              </w:rPr>
              <w:br/>
            </w:r>
            <w:r w:rsidRPr="00EA466A">
              <w:rPr>
                <w:rFonts w:ascii="Times New Roman" w:hAnsi="Times New Roman"/>
                <w:spacing w:val="20"/>
              </w:rPr>
              <w:t>laika zīmogā</w:t>
            </w:r>
          </w:p>
        </w:tc>
        <w:tc>
          <w:tcPr>
            <w:tcW w:w="567" w:type="dxa"/>
            <w:hideMark/>
          </w:tcPr>
          <w:p w:rsidR="00EA466A" w:rsidRDefault="00190804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EA466A" w:rsidRPr="00295865" w:rsidRDefault="00190804">
            <w:pP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295865">
              <w:rPr>
                <w:rFonts w:ascii="Times New Roman" w:eastAsia="Times New Roman" w:hAnsi="Times New Roman"/>
                <w:noProof/>
                <w:spacing w:val="20"/>
                <w:sz w:val="24"/>
                <w:szCs w:val="24"/>
              </w:rPr>
              <w:t>4-10e/21/3444</w:t>
            </w:r>
          </w:p>
        </w:tc>
      </w:tr>
      <w:tr w:rsidR="00BC5856" w:rsidTr="00295865">
        <w:trPr>
          <w:trHeight w:val="284"/>
        </w:trPr>
        <w:tc>
          <w:tcPr>
            <w:tcW w:w="680" w:type="dxa"/>
            <w:hideMark/>
          </w:tcPr>
          <w:p w:rsidR="00EA466A" w:rsidRDefault="00190804" w:rsidP="00EA466A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Uz</w:t>
            </w:r>
          </w:p>
        </w:tc>
        <w:tc>
          <w:tcPr>
            <w:tcW w:w="197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A466A" w:rsidRPr="00193793" w:rsidRDefault="00190804" w:rsidP="007F4B6D">
            <w:pPr>
              <w:pStyle w:val="Head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>25.09</w:t>
            </w:r>
            <w:r w:rsidR="00201158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>.2021</w:t>
            </w:r>
          </w:p>
        </w:tc>
        <w:tc>
          <w:tcPr>
            <w:tcW w:w="567" w:type="dxa"/>
            <w:hideMark/>
          </w:tcPr>
          <w:p w:rsidR="00EA466A" w:rsidRDefault="00190804" w:rsidP="00EA466A">
            <w:pPr>
              <w:pStyle w:val="Header"/>
              <w:rPr>
                <w:rFonts w:ascii="Times New Roman" w:eastAsia="Times New Roman" w:hAnsi="Times New Roman"/>
                <w:spacing w:val="2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>Nr.</w:t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A466A" w:rsidRPr="00193793" w:rsidRDefault="00EA466A" w:rsidP="007F4B6D">
            <w:pPr>
              <w:pStyle w:val="Head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436A5D" w:rsidRDefault="00436A5D" w:rsidP="00036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80D" w:rsidRPr="00F2080D" w:rsidRDefault="00F2080D" w:rsidP="0003612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A4B3B" w:rsidRPr="001A4B3B" w:rsidRDefault="00190804" w:rsidP="001A4B3B">
      <w:pPr>
        <w:widowControl/>
        <w:spacing w:after="0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>Biedrība</w:t>
      </w:r>
      <w:r w:rsidR="008E065F">
        <w:rPr>
          <w:rFonts w:ascii="Times New Roman" w:eastAsia="Times New Roman" w:hAnsi="Times New Roman"/>
          <w:sz w:val="28"/>
          <w:szCs w:val="24"/>
          <w:lang w:eastAsia="lv-LV"/>
        </w:rPr>
        <w:t>i</w:t>
      </w: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 xml:space="preserve"> “Latvijas Kuģu kapteiņu asociācija”</w:t>
      </w:r>
    </w:p>
    <w:p w:rsidR="001A4B3B" w:rsidRPr="001A4B3B" w:rsidRDefault="00190804" w:rsidP="001A4B3B">
      <w:pPr>
        <w:widowControl/>
        <w:spacing w:after="0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>Biedrība</w:t>
      </w:r>
      <w:r w:rsidR="008E065F">
        <w:rPr>
          <w:rFonts w:ascii="Times New Roman" w:eastAsia="Times New Roman" w:hAnsi="Times New Roman"/>
          <w:sz w:val="28"/>
          <w:szCs w:val="24"/>
          <w:lang w:eastAsia="lv-LV"/>
        </w:rPr>
        <w:t>i</w:t>
      </w: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 xml:space="preserve"> “Latvijas Jūrniecības savienība”</w:t>
      </w:r>
    </w:p>
    <w:p w:rsidR="001A4B3B" w:rsidRPr="001A4B3B" w:rsidRDefault="00190804" w:rsidP="001A4B3B">
      <w:pPr>
        <w:widowControl/>
        <w:spacing w:after="0"/>
        <w:jc w:val="right"/>
        <w:rPr>
          <w:rFonts w:ascii="Times New Roman" w:hAnsi="Times New Roman"/>
          <w:iCs/>
          <w:sz w:val="28"/>
          <w:szCs w:val="24"/>
        </w:rPr>
      </w:pPr>
      <w:r w:rsidRPr="001A4B3B">
        <w:rPr>
          <w:rFonts w:ascii="Times New Roman" w:hAnsi="Times New Roman"/>
          <w:iCs/>
          <w:sz w:val="28"/>
          <w:szCs w:val="24"/>
        </w:rPr>
        <w:t>Latvijas Tirdzniecības flotes jūrnieku arodbiedrība</w:t>
      </w:r>
      <w:r w:rsidR="008E065F">
        <w:rPr>
          <w:rFonts w:ascii="Times New Roman" w:hAnsi="Times New Roman"/>
          <w:iCs/>
          <w:sz w:val="28"/>
          <w:szCs w:val="24"/>
        </w:rPr>
        <w:t>i</w:t>
      </w:r>
    </w:p>
    <w:p w:rsidR="001A4B3B" w:rsidRDefault="00190804" w:rsidP="001A4B3B">
      <w:pPr>
        <w:widowControl/>
        <w:spacing w:after="0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>Biedrība</w:t>
      </w:r>
      <w:r w:rsidR="008E065F">
        <w:rPr>
          <w:rFonts w:ascii="Times New Roman" w:eastAsia="Times New Roman" w:hAnsi="Times New Roman"/>
          <w:sz w:val="28"/>
          <w:szCs w:val="24"/>
          <w:lang w:eastAsia="lv-LV"/>
        </w:rPr>
        <w:t>i</w:t>
      </w:r>
      <w:r w:rsidRPr="001A4B3B">
        <w:rPr>
          <w:rFonts w:ascii="Times New Roman" w:eastAsia="Times New Roman" w:hAnsi="Times New Roman"/>
          <w:sz w:val="28"/>
          <w:szCs w:val="24"/>
          <w:lang w:eastAsia="lv-LV"/>
        </w:rPr>
        <w:t xml:space="preserve"> “Latvian Crewing Companies Association”</w:t>
      </w:r>
    </w:p>
    <w:p w:rsidR="001A4B3B" w:rsidRPr="001A4B3B" w:rsidRDefault="001A4B3B" w:rsidP="001A4B3B">
      <w:pPr>
        <w:widowControl/>
        <w:spacing w:after="0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</w:p>
    <w:p w:rsidR="001A4B3B" w:rsidRPr="001A4B3B" w:rsidRDefault="00190804" w:rsidP="001A4B3B">
      <w:pPr>
        <w:widowControl/>
        <w:spacing w:after="0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/>
          <w:sz w:val="28"/>
          <w:szCs w:val="24"/>
          <w:lang w:eastAsia="lv-LV"/>
        </w:rPr>
        <w:t>Informācijai:</w:t>
      </w:r>
    </w:p>
    <w:p w:rsidR="001A4B3B" w:rsidRPr="001A4B3B" w:rsidRDefault="00190804" w:rsidP="001A4B3B">
      <w:pPr>
        <w:widowControl/>
        <w:shd w:val="clear" w:color="auto" w:fill="FFFFFF"/>
        <w:spacing w:after="0" w:line="190" w:lineRule="atLeast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Valsts kanceleja</w:t>
      </w:r>
      <w:r w:rsidR="008E065F">
        <w:rPr>
          <w:rFonts w:ascii="Times New Roman" w:eastAsia="Times New Roman" w:hAnsi="Times New Roman"/>
          <w:sz w:val="28"/>
          <w:szCs w:val="28"/>
          <w:lang w:eastAsia="lv-LV"/>
        </w:rPr>
        <w:t>i</w:t>
      </w:r>
    </w:p>
    <w:p w:rsidR="001A4B3B" w:rsidRPr="001A4B3B" w:rsidRDefault="00190804" w:rsidP="001A4B3B">
      <w:pPr>
        <w:widowControl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lv-LV"/>
        </w:rPr>
        <w:t>Satiksmes ministrija</w:t>
      </w:r>
      <w:r w:rsidR="008E065F">
        <w:rPr>
          <w:rFonts w:ascii="Times New Roman" w:eastAsia="Times New Roman" w:hAnsi="Times New Roman"/>
          <w:color w:val="000000"/>
          <w:sz w:val="28"/>
          <w:szCs w:val="28"/>
          <w:lang w:eastAsia="lv-LV"/>
        </w:rPr>
        <w:t>i</w:t>
      </w:r>
    </w:p>
    <w:p w:rsidR="00F003A6" w:rsidRPr="001D1643" w:rsidRDefault="00F003A6" w:rsidP="00F003A6">
      <w:pPr>
        <w:spacing w:after="0"/>
        <w:jc w:val="right"/>
        <w:rPr>
          <w:rFonts w:ascii="Times New Roman" w:hAnsi="Times New Roman"/>
          <w:sz w:val="20"/>
          <w:szCs w:val="18"/>
        </w:rPr>
      </w:pPr>
    </w:p>
    <w:p w:rsidR="00047388" w:rsidRPr="003D1F3C" w:rsidRDefault="00047388" w:rsidP="00EA46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388" w:rsidRPr="00740C11" w:rsidRDefault="00190804" w:rsidP="00EA466A">
      <w:pPr>
        <w:spacing w:after="0" w:line="240" w:lineRule="auto"/>
        <w:rPr>
          <w:rFonts w:ascii="Times New Roman" w:hAnsi="Times New Roman"/>
          <w:i/>
          <w:iCs/>
          <w:noProof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</w:rPr>
        <w:t>Par autonoma jūrniecības izglītības iestāžu tīkla saglabāšanu</w:t>
      </w:r>
    </w:p>
    <w:p w:rsidR="00D64CF7" w:rsidRDefault="00D64CF7" w:rsidP="00EA46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B6D" w:rsidRDefault="00190804" w:rsidP="001A4B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4B6D">
        <w:rPr>
          <w:rFonts w:ascii="Times New Roman" w:hAnsi="Times New Roman"/>
          <w:sz w:val="28"/>
          <w:szCs w:val="28"/>
        </w:rPr>
        <w:t xml:space="preserve">Izglītības un zinātnes ministrija (turpmāk – ministrija) ir saņēmusi </w:t>
      </w:r>
      <w:r w:rsidR="001A4B3B">
        <w:rPr>
          <w:rFonts w:ascii="Times New Roman" w:hAnsi="Times New Roman"/>
          <w:sz w:val="28"/>
          <w:szCs w:val="28"/>
        </w:rPr>
        <w:t xml:space="preserve">biedrības „Latvijas Kuģu kapteiņu asociācija”, biedrības „Latvijas Jūrniecības savienība”, Latvijas Tirdzniecības flotes jūrnieku arodbiedrības un biedrības „Latvian Crewing Companies Association” </w:t>
      </w:r>
      <w:r w:rsidRPr="007F4B6D">
        <w:rPr>
          <w:rFonts w:ascii="Times New Roman" w:hAnsi="Times New Roman"/>
          <w:sz w:val="28"/>
          <w:szCs w:val="28"/>
        </w:rPr>
        <w:t>(turpmāk –</w:t>
      </w:r>
      <w:r w:rsidR="00D64CF7">
        <w:rPr>
          <w:rFonts w:ascii="Times New Roman" w:hAnsi="Times New Roman"/>
          <w:sz w:val="28"/>
          <w:szCs w:val="28"/>
        </w:rPr>
        <w:t xml:space="preserve"> </w:t>
      </w:r>
      <w:r w:rsidR="001A4B3B">
        <w:rPr>
          <w:rFonts w:ascii="Times New Roman" w:hAnsi="Times New Roman"/>
          <w:sz w:val="28"/>
          <w:szCs w:val="28"/>
        </w:rPr>
        <w:t>Latvijas jūrniecības nevalstiskās organizācijas</w:t>
      </w:r>
      <w:r w:rsidRPr="007F4B6D">
        <w:rPr>
          <w:rFonts w:ascii="Times New Roman" w:hAnsi="Times New Roman"/>
          <w:sz w:val="28"/>
          <w:szCs w:val="28"/>
        </w:rPr>
        <w:t>)</w:t>
      </w:r>
      <w:r w:rsidRPr="007F4B6D">
        <w:rPr>
          <w:rFonts w:ascii="Times New Roman" w:hAnsi="Times New Roman"/>
          <w:sz w:val="28"/>
          <w:szCs w:val="28"/>
        </w:rPr>
        <w:t xml:space="preserve"> 2021.</w:t>
      </w:r>
      <w:r w:rsidR="006F0824">
        <w:rPr>
          <w:rFonts w:ascii="Times New Roman" w:hAnsi="Times New Roman"/>
          <w:sz w:val="28"/>
          <w:szCs w:val="28"/>
        </w:rPr>
        <w:t> </w:t>
      </w:r>
      <w:r w:rsidRPr="007F4B6D">
        <w:rPr>
          <w:rFonts w:ascii="Times New Roman" w:hAnsi="Times New Roman"/>
          <w:sz w:val="28"/>
          <w:szCs w:val="28"/>
        </w:rPr>
        <w:t xml:space="preserve">gada </w:t>
      </w:r>
      <w:r w:rsidR="001A4B3B">
        <w:rPr>
          <w:rFonts w:ascii="Times New Roman" w:hAnsi="Times New Roman"/>
          <w:sz w:val="28"/>
          <w:szCs w:val="28"/>
        </w:rPr>
        <w:t>25</w:t>
      </w:r>
      <w:r w:rsidRPr="007F4B6D">
        <w:rPr>
          <w:rFonts w:ascii="Times New Roman" w:hAnsi="Times New Roman"/>
          <w:sz w:val="28"/>
          <w:szCs w:val="28"/>
        </w:rPr>
        <w:t>.</w:t>
      </w:r>
      <w:r w:rsidR="006F0824">
        <w:rPr>
          <w:rFonts w:ascii="Times New Roman" w:hAnsi="Times New Roman"/>
          <w:sz w:val="28"/>
          <w:szCs w:val="28"/>
        </w:rPr>
        <w:t> </w:t>
      </w:r>
      <w:r w:rsidR="001A4B3B">
        <w:rPr>
          <w:rFonts w:ascii="Times New Roman" w:hAnsi="Times New Roman"/>
          <w:sz w:val="28"/>
          <w:szCs w:val="28"/>
        </w:rPr>
        <w:t xml:space="preserve">septembra vēstuli, kurā Latvijas jūrniecības nevalstiskās organizācijas lūdz Ministru kabinetā atbalstīt „Transporta attīstības pamatnostādnes 2021.-2027. gadam” (turpmāk – TAP2027) redakciju, kas nosaka, ka ir jāsaglabā autonoms jūrniecības izglītības iestāžu tīkls. </w:t>
      </w:r>
    </w:p>
    <w:p w:rsidR="009B0D9F" w:rsidRDefault="00190804" w:rsidP="000049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E1C">
        <w:rPr>
          <w:rFonts w:ascii="Times New Roman" w:hAnsi="Times New Roman"/>
          <w:sz w:val="28"/>
          <w:szCs w:val="28"/>
        </w:rPr>
        <w:t>Vēlamies pateikties</w:t>
      </w:r>
      <w:r w:rsidR="005B1C2B" w:rsidRPr="00500E1C">
        <w:rPr>
          <w:rFonts w:ascii="Times New Roman" w:hAnsi="Times New Roman"/>
          <w:sz w:val="28"/>
          <w:szCs w:val="28"/>
        </w:rPr>
        <w:t xml:space="preserve"> Latvijas jūrniecības nevalstiskajām organizācijām par iesaisti noritošajos procesos, kā arī saprot</w:t>
      </w:r>
      <w:r w:rsidRPr="00500E1C">
        <w:rPr>
          <w:rFonts w:ascii="Times New Roman" w:hAnsi="Times New Roman"/>
          <w:sz w:val="28"/>
          <w:szCs w:val="28"/>
        </w:rPr>
        <w:t>am izteiktās</w:t>
      </w:r>
      <w:r w:rsidR="005B1C2B" w:rsidRPr="00500E1C">
        <w:rPr>
          <w:rFonts w:ascii="Times New Roman" w:hAnsi="Times New Roman"/>
          <w:sz w:val="28"/>
          <w:szCs w:val="28"/>
        </w:rPr>
        <w:t xml:space="preserve"> bažas par izglītības kvalitāt</w:t>
      </w:r>
      <w:r w:rsidRPr="00500E1C">
        <w:rPr>
          <w:rFonts w:ascii="Times New Roman" w:hAnsi="Times New Roman"/>
          <w:sz w:val="28"/>
          <w:szCs w:val="28"/>
        </w:rPr>
        <w:t xml:space="preserve">i </w:t>
      </w:r>
      <w:r w:rsidR="005B1C2B" w:rsidRPr="00500E1C">
        <w:rPr>
          <w:rFonts w:ascii="Times New Roman" w:hAnsi="Times New Roman"/>
          <w:sz w:val="28"/>
          <w:szCs w:val="28"/>
        </w:rPr>
        <w:t>jūrniecīb</w:t>
      </w:r>
      <w:r w:rsidRPr="00500E1C">
        <w:rPr>
          <w:rFonts w:ascii="Times New Roman" w:hAnsi="Times New Roman"/>
          <w:sz w:val="28"/>
          <w:szCs w:val="28"/>
        </w:rPr>
        <w:t>as nozarē</w:t>
      </w:r>
      <w:r>
        <w:rPr>
          <w:rFonts w:ascii="Times New Roman" w:hAnsi="Times New Roman"/>
          <w:sz w:val="28"/>
          <w:szCs w:val="28"/>
        </w:rPr>
        <w:t>.</w:t>
      </w:r>
      <w:r w:rsidRPr="00500E1C">
        <w:rPr>
          <w:rFonts w:ascii="Times New Roman" w:hAnsi="Times New Roman"/>
          <w:sz w:val="28"/>
          <w:szCs w:val="28"/>
        </w:rPr>
        <w:t xml:space="preserve"> </w:t>
      </w:r>
    </w:p>
    <w:p w:rsidR="00BA2A5B" w:rsidRDefault="00190804" w:rsidP="000049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ministrijas nolikuma</w:t>
      </w:r>
      <w:r w:rsidR="002A4E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(Ministru kabineta </w:t>
      </w:r>
      <w:r w:rsidR="00666F5E">
        <w:rPr>
          <w:rFonts w:ascii="Times New Roman" w:hAnsi="Times New Roman"/>
          <w:noProof/>
          <w:sz w:val="28"/>
          <w:szCs w:val="28"/>
        </w:rPr>
        <w:t>noteikum</w:t>
      </w:r>
      <w:r>
        <w:rPr>
          <w:rFonts w:ascii="Times New Roman" w:hAnsi="Times New Roman"/>
          <w:noProof/>
          <w:sz w:val="28"/>
          <w:szCs w:val="28"/>
        </w:rPr>
        <w:t>i</w:t>
      </w:r>
      <w:r w:rsidR="00666F5E">
        <w:rPr>
          <w:rFonts w:ascii="Times New Roman" w:hAnsi="Times New Roman"/>
          <w:noProof/>
          <w:sz w:val="28"/>
          <w:szCs w:val="28"/>
        </w:rPr>
        <w:t xml:space="preserve"> N</w:t>
      </w:r>
      <w:r w:rsidRPr="00BA2A5B">
        <w:rPr>
          <w:rFonts w:ascii="Times New Roman" w:hAnsi="Times New Roman"/>
          <w:noProof/>
          <w:sz w:val="28"/>
          <w:szCs w:val="28"/>
        </w:rPr>
        <w:t>r.</w:t>
      </w:r>
      <w:r w:rsidR="00666F5E">
        <w:rPr>
          <w:rFonts w:ascii="Times New Roman" w:hAnsi="Times New Roman"/>
          <w:noProof/>
          <w:sz w:val="28"/>
          <w:szCs w:val="28"/>
        </w:rPr>
        <w:t> </w:t>
      </w:r>
      <w:r w:rsidRPr="00BA2A5B">
        <w:rPr>
          <w:rFonts w:ascii="Times New Roman" w:hAnsi="Times New Roman"/>
          <w:noProof/>
          <w:sz w:val="28"/>
          <w:szCs w:val="28"/>
        </w:rPr>
        <w:t>528</w:t>
      </w:r>
      <w:r w:rsidR="00E62E14"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 xml:space="preserve">„Izglītības un zinātnes ministrijas nolikums”) </w:t>
      </w:r>
      <w:r w:rsidR="000E485C">
        <w:rPr>
          <w:rFonts w:ascii="Times New Roman" w:hAnsi="Times New Roman"/>
          <w:noProof/>
          <w:sz w:val="28"/>
          <w:szCs w:val="28"/>
        </w:rPr>
        <w:t xml:space="preserve">4. punktā ir minēts, ka viena no ministrijas funkcijām ir izstrādāt izglītības politiku, kā arī īstenot izglītības politikas īstenošanu. </w:t>
      </w:r>
      <w:r>
        <w:rPr>
          <w:rFonts w:ascii="Times New Roman" w:hAnsi="Times New Roman"/>
          <w:noProof/>
          <w:sz w:val="28"/>
          <w:szCs w:val="28"/>
        </w:rPr>
        <w:t>Cita starpā šīs funckijas īstenošan</w:t>
      </w:r>
      <w:r>
        <w:rPr>
          <w:rFonts w:ascii="Times New Roman" w:hAnsi="Times New Roman"/>
          <w:noProof/>
          <w:sz w:val="28"/>
          <w:szCs w:val="28"/>
        </w:rPr>
        <w:t>ai ministrija var iesniegt Ministru kabinetā p</w:t>
      </w:r>
      <w:r w:rsidR="00EF3360">
        <w:rPr>
          <w:rFonts w:ascii="Times New Roman" w:hAnsi="Times New Roman"/>
          <w:noProof/>
          <w:sz w:val="28"/>
          <w:szCs w:val="28"/>
        </w:rPr>
        <w:t>rie</w:t>
      </w:r>
      <w:r>
        <w:rPr>
          <w:rFonts w:ascii="Times New Roman" w:hAnsi="Times New Roman"/>
          <w:noProof/>
          <w:sz w:val="28"/>
          <w:szCs w:val="28"/>
        </w:rPr>
        <w:t xml:space="preserve">kšlikumus pa valsts izglītības iestāžu dibināšanu, reorganizēšanu un likvidēšanu un ministrijas pārziņā ir lēmumu pieņemšana par tās padotības iestāžu finansēšanu, attīstību un reorganizāciju, šajā gadījumā </w:t>
      </w:r>
      <w:r>
        <w:rPr>
          <w:rFonts w:ascii="Times New Roman" w:hAnsi="Times New Roman"/>
          <w:noProof/>
          <w:sz w:val="28"/>
          <w:szCs w:val="28"/>
        </w:rPr>
        <w:t xml:space="preserve">par Latvijas Jūras akadēmiju un Liepājas Jūrniecības koledžu. </w:t>
      </w:r>
    </w:p>
    <w:p w:rsidR="003A7087" w:rsidRDefault="00190804" w:rsidP="00666F5E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Attiecīgi nav pamata konkrētas</w:t>
      </w:r>
      <w:r w:rsidR="002A4E28">
        <w:rPr>
          <w:rFonts w:ascii="Times New Roman" w:hAnsi="Times New Roman"/>
          <w:noProof/>
          <w:sz w:val="28"/>
          <w:szCs w:val="28"/>
        </w:rPr>
        <w:t xml:space="preserve"> nozares</w:t>
      </w:r>
      <w:r w:rsidR="002A4E28" w:rsidRPr="00D539F9">
        <w:rPr>
          <w:rFonts w:ascii="Times New Roman" w:hAnsi="Times New Roman"/>
          <w:noProof/>
          <w:sz w:val="28"/>
          <w:szCs w:val="28"/>
        </w:rPr>
        <w:t xml:space="preserve"> plānošanas dokumentā </w:t>
      </w:r>
      <w:r w:rsidR="002A4E28">
        <w:rPr>
          <w:rFonts w:ascii="Times New Roman" w:hAnsi="Times New Roman"/>
          <w:noProof/>
          <w:sz w:val="28"/>
          <w:szCs w:val="28"/>
        </w:rPr>
        <w:t>nostiprināt</w:t>
      </w:r>
      <w:r w:rsidR="002A4E28" w:rsidRPr="00D539F9">
        <w:rPr>
          <w:rFonts w:ascii="Times New Roman" w:hAnsi="Times New Roman"/>
          <w:noProof/>
          <w:sz w:val="28"/>
          <w:szCs w:val="28"/>
        </w:rPr>
        <w:t xml:space="preserve"> principu</w:t>
      </w:r>
      <w:r w:rsidR="002A4E28">
        <w:rPr>
          <w:rFonts w:ascii="Times New Roman" w:hAnsi="Times New Roman"/>
          <w:noProof/>
          <w:sz w:val="28"/>
          <w:szCs w:val="28"/>
        </w:rPr>
        <w:t xml:space="preserve"> attiecībā uz jautājumu</w:t>
      </w:r>
      <w:r w:rsidR="002A4E28" w:rsidRPr="00D539F9">
        <w:rPr>
          <w:rFonts w:ascii="Times New Roman" w:hAnsi="Times New Roman"/>
          <w:noProof/>
          <w:sz w:val="28"/>
          <w:szCs w:val="28"/>
        </w:rPr>
        <w:t>, kas ir</w:t>
      </w:r>
      <w:r w:rsidR="002A4E28">
        <w:rPr>
          <w:rFonts w:ascii="Times New Roman" w:hAnsi="Times New Roman"/>
          <w:noProof/>
          <w:sz w:val="28"/>
          <w:szCs w:val="28"/>
        </w:rPr>
        <w:t xml:space="preserve"> Izglītības un zinātnes ministrijas kompetence</w:t>
      </w:r>
      <w:r>
        <w:rPr>
          <w:rFonts w:ascii="Times New Roman" w:hAnsi="Times New Roman"/>
          <w:noProof/>
          <w:sz w:val="28"/>
          <w:szCs w:val="28"/>
        </w:rPr>
        <w:t>. Vienlaikus ministrija apliecina iz</w:t>
      </w:r>
      <w:r>
        <w:rPr>
          <w:rFonts w:ascii="Times New Roman" w:hAnsi="Times New Roman"/>
          <w:noProof/>
          <w:sz w:val="28"/>
          <w:szCs w:val="28"/>
        </w:rPr>
        <w:t xml:space="preserve">pratni par kvalitatīva izglītības piedāvājuma jūrniecības nozarē izaicinājumiem. </w:t>
      </w:r>
      <w:r w:rsidR="002A4E2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6F5E" w:rsidRDefault="00190804" w:rsidP="00666F5E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Vēlameis vērst uzmanību uz I</w:t>
      </w:r>
      <w:r w:rsidR="002A4E28">
        <w:rPr>
          <w:rFonts w:ascii="Times New Roman" w:hAnsi="Times New Roman"/>
          <w:noProof/>
          <w:sz w:val="28"/>
          <w:szCs w:val="28"/>
        </w:rPr>
        <w:t>zglītības un zinātnes</w:t>
      </w:r>
      <w:r w:rsidR="002A4E28" w:rsidRPr="00D539F9">
        <w:rPr>
          <w:rFonts w:ascii="Times New Roman" w:hAnsi="Times New Roman"/>
          <w:noProof/>
          <w:sz w:val="28"/>
          <w:szCs w:val="28"/>
        </w:rPr>
        <w:t xml:space="preserve"> </w:t>
      </w:r>
      <w:r w:rsidR="002A4E28">
        <w:rPr>
          <w:rFonts w:ascii="Times New Roman" w:hAnsi="Times New Roman"/>
          <w:noProof/>
          <w:sz w:val="28"/>
          <w:szCs w:val="28"/>
        </w:rPr>
        <w:t xml:space="preserve">ministrijas, </w:t>
      </w:r>
      <w:r w:rsidR="002A4E28" w:rsidRPr="00D539F9">
        <w:rPr>
          <w:rFonts w:ascii="Times New Roman" w:hAnsi="Times New Roman"/>
          <w:noProof/>
          <w:sz w:val="28"/>
          <w:szCs w:val="28"/>
        </w:rPr>
        <w:t xml:space="preserve">kā par augstākās izglītības politikas plānošanu atbildīgās </w:t>
      </w:r>
      <w:r w:rsidR="002A4E28">
        <w:rPr>
          <w:rFonts w:ascii="Times New Roman" w:hAnsi="Times New Roman"/>
          <w:noProof/>
          <w:sz w:val="28"/>
          <w:szCs w:val="28"/>
        </w:rPr>
        <w:t>ministrijas, jau izstrādātajām un Ministru kabinetā apstiprinātajām Izglītības attīstības pamatnostādnēm 2021. – 2027. gadam, kur</w:t>
      </w:r>
      <w:r w:rsidR="00DD1177">
        <w:rPr>
          <w:rFonts w:ascii="Times New Roman" w:hAnsi="Times New Roman"/>
          <w:noProof/>
          <w:sz w:val="28"/>
          <w:szCs w:val="28"/>
        </w:rPr>
        <w:t>ās kā</w:t>
      </w:r>
      <w:r w:rsidR="002A4E28">
        <w:rPr>
          <w:rFonts w:ascii="Times New Roman" w:hAnsi="Times New Roman"/>
          <w:noProof/>
          <w:sz w:val="28"/>
          <w:szCs w:val="28"/>
        </w:rPr>
        <w:t xml:space="preserve"> vienas no nozīmīgākajām pārmaiņām </w:t>
      </w:r>
      <w:r w:rsidR="00DD1177">
        <w:rPr>
          <w:rFonts w:ascii="Times New Roman" w:hAnsi="Times New Roman"/>
          <w:noProof/>
          <w:sz w:val="28"/>
          <w:szCs w:val="28"/>
        </w:rPr>
        <w:t>augstākajā izglītībā ir plānota</w:t>
      </w:r>
      <w:r w:rsidR="002A4E28">
        <w:rPr>
          <w:rFonts w:ascii="Times New Roman" w:hAnsi="Times New Roman"/>
          <w:noProof/>
          <w:sz w:val="28"/>
          <w:szCs w:val="28"/>
        </w:rPr>
        <w:t xml:space="preserve"> augstskolu i</w:t>
      </w:r>
      <w:r w:rsidR="002A4E28" w:rsidRPr="00E62E14">
        <w:rPr>
          <w:rFonts w:ascii="Times New Roman" w:hAnsi="Times New Roman"/>
          <w:noProof/>
          <w:sz w:val="28"/>
          <w:szCs w:val="28"/>
        </w:rPr>
        <w:t>nstitucionālās kapacitātes stiprināšana, nodrošinot institūciju iekšējo resursu konsolidāciju, veidojot konsorcijus resursu koplietošanas risinājumiem un īstenojot institucionālu integrāciju</w:t>
      </w:r>
      <w:r w:rsidR="002A4E28">
        <w:rPr>
          <w:rFonts w:ascii="Times New Roman" w:hAnsi="Times New Roman"/>
          <w:noProof/>
          <w:sz w:val="28"/>
          <w:szCs w:val="28"/>
        </w:rPr>
        <w:t>.</w:t>
      </w:r>
      <w:r w:rsidR="00C8203F">
        <w:rPr>
          <w:rFonts w:ascii="Times New Roman" w:hAnsi="Times New Roman"/>
          <w:noProof/>
          <w:sz w:val="28"/>
          <w:szCs w:val="28"/>
        </w:rPr>
        <w:t xml:space="preserve"> Vienlaikus i</w:t>
      </w:r>
      <w:r w:rsidRPr="00D539F9">
        <w:rPr>
          <w:rFonts w:ascii="Times New Roman" w:hAnsi="Times New Roman"/>
          <w:noProof/>
          <w:sz w:val="28"/>
          <w:szCs w:val="28"/>
        </w:rPr>
        <w:t xml:space="preserve">nformējam, </w:t>
      </w:r>
      <w:r w:rsidR="00EF3360">
        <w:rPr>
          <w:rFonts w:ascii="Times New Roman" w:hAnsi="Times New Roman"/>
          <w:noProof/>
          <w:sz w:val="28"/>
          <w:szCs w:val="28"/>
        </w:rPr>
        <w:t>ka</w:t>
      </w:r>
      <w:r w:rsidR="00C8203F">
        <w:rPr>
          <w:rFonts w:ascii="Times New Roman" w:hAnsi="Times New Roman"/>
          <w:noProof/>
          <w:sz w:val="28"/>
          <w:szCs w:val="28"/>
        </w:rPr>
        <w:t xml:space="preserve"> likumdevējs </w:t>
      </w:r>
      <w:r w:rsidR="00D27EE9">
        <w:rPr>
          <w:rFonts w:ascii="Times New Roman" w:hAnsi="Times New Roman"/>
          <w:noProof/>
          <w:sz w:val="28"/>
          <w:szCs w:val="28"/>
        </w:rPr>
        <w:t xml:space="preserve">arī </w:t>
      </w:r>
      <w:r w:rsidR="00C8203F">
        <w:rPr>
          <w:rFonts w:ascii="Times New Roman" w:hAnsi="Times New Roman"/>
          <w:noProof/>
          <w:sz w:val="28"/>
          <w:szCs w:val="28"/>
        </w:rPr>
        <w:t xml:space="preserve">ir noteicis ministrijai uzdevumu attiecībā uz augstākās izglītības sektora attīstīstību un </w:t>
      </w:r>
      <w:r>
        <w:rPr>
          <w:rFonts w:ascii="Times New Roman" w:hAnsi="Times New Roman"/>
          <w:noProof/>
          <w:sz w:val="28"/>
          <w:szCs w:val="28"/>
        </w:rPr>
        <w:t>Augstskolu likuma pārejas</w:t>
      </w:r>
      <w:r>
        <w:rPr>
          <w:rFonts w:ascii="Times New Roman" w:hAnsi="Times New Roman"/>
          <w:noProof/>
          <w:sz w:val="28"/>
          <w:szCs w:val="28"/>
        </w:rPr>
        <w:t xml:space="preserve"> noteikumu 80. punkts paredz, ka </w:t>
      </w:r>
      <w:r w:rsidRPr="005E3AEB">
        <w:rPr>
          <w:rFonts w:ascii="Times New Roman" w:hAnsi="Times New Roman"/>
          <w:noProof/>
          <w:sz w:val="28"/>
          <w:szCs w:val="28"/>
        </w:rPr>
        <w:t>ministrija izstrādā informatīvo ziņojumu par valsts augstskolu institucionālās attīstības un konsolidācijas plānu un līdz 2022.</w:t>
      </w:r>
      <w:r>
        <w:rPr>
          <w:rFonts w:ascii="Times New Roman" w:hAnsi="Times New Roman"/>
          <w:noProof/>
          <w:sz w:val="28"/>
          <w:szCs w:val="28"/>
        </w:rPr>
        <w:t> </w:t>
      </w:r>
      <w:r w:rsidRPr="005E3AEB">
        <w:rPr>
          <w:rFonts w:ascii="Times New Roman" w:hAnsi="Times New Roman"/>
          <w:noProof/>
          <w:sz w:val="28"/>
          <w:szCs w:val="28"/>
        </w:rPr>
        <w:t>gada 31.</w:t>
      </w:r>
      <w:r>
        <w:rPr>
          <w:rFonts w:ascii="Times New Roman" w:hAnsi="Times New Roman"/>
          <w:noProof/>
          <w:sz w:val="28"/>
          <w:szCs w:val="28"/>
        </w:rPr>
        <w:t> </w:t>
      </w:r>
      <w:r w:rsidRPr="005E3AEB">
        <w:rPr>
          <w:rFonts w:ascii="Times New Roman" w:hAnsi="Times New Roman"/>
          <w:noProof/>
          <w:sz w:val="28"/>
          <w:szCs w:val="28"/>
        </w:rPr>
        <w:t>martam iesniedz to izskatīšanai Ministru kabinetā.</w:t>
      </w:r>
    </w:p>
    <w:p w:rsidR="005E3AEB" w:rsidRDefault="00190804" w:rsidP="005E3AEB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Ministrija ir iedziļinājusies un pi</w:t>
      </w:r>
      <w:r>
        <w:rPr>
          <w:rFonts w:ascii="Times New Roman" w:hAnsi="Times New Roman"/>
          <w:noProof/>
          <w:sz w:val="28"/>
          <w:szCs w:val="28"/>
        </w:rPr>
        <w:t>evērsusi uzmanību TAP2027 projektam, sniedzot atzinumus, piedaloties saskaņošanas sanāksmēs un sarunās ar Satiksmes ministriju saistībā ar TAP2027</w:t>
      </w:r>
      <w:r w:rsidR="00D27EE9">
        <w:rPr>
          <w:rFonts w:ascii="Times New Roman" w:hAnsi="Times New Roman"/>
          <w:noProof/>
          <w:sz w:val="28"/>
          <w:szCs w:val="28"/>
        </w:rPr>
        <w:t xml:space="preserve"> izstrādi un apstiprināšanu</w:t>
      </w:r>
      <w:r>
        <w:rPr>
          <w:rFonts w:ascii="Times New Roman" w:hAnsi="Times New Roman"/>
          <w:noProof/>
          <w:sz w:val="28"/>
          <w:szCs w:val="28"/>
        </w:rPr>
        <w:t xml:space="preserve">. </w:t>
      </w:r>
      <w:r w:rsidR="00D539F9">
        <w:rPr>
          <w:rFonts w:ascii="Times New Roman" w:hAnsi="Times New Roman"/>
          <w:noProof/>
          <w:sz w:val="28"/>
          <w:szCs w:val="28"/>
        </w:rPr>
        <w:t xml:space="preserve">Ministrija </w:t>
      </w:r>
      <w:r w:rsidR="00B853FC">
        <w:rPr>
          <w:rFonts w:ascii="Times New Roman" w:hAnsi="Times New Roman"/>
          <w:noProof/>
          <w:sz w:val="28"/>
          <w:szCs w:val="28"/>
        </w:rPr>
        <w:t>kā</w:t>
      </w:r>
      <w:r w:rsidRPr="00D539F9">
        <w:rPr>
          <w:rFonts w:ascii="Times New Roman" w:hAnsi="Times New Roman"/>
          <w:noProof/>
          <w:sz w:val="28"/>
          <w:szCs w:val="28"/>
        </w:rPr>
        <w:t xml:space="preserve"> par augstākās izglītības politiku atbildīg</w:t>
      </w:r>
      <w:r w:rsidR="00B853FC">
        <w:rPr>
          <w:rFonts w:ascii="Times New Roman" w:hAnsi="Times New Roman"/>
          <w:noProof/>
          <w:sz w:val="28"/>
          <w:szCs w:val="28"/>
        </w:rPr>
        <w:t>ā ministrija</w:t>
      </w:r>
      <w:r w:rsidRPr="00D539F9">
        <w:rPr>
          <w:rFonts w:ascii="Times New Roman" w:hAnsi="Times New Roman"/>
          <w:noProof/>
          <w:sz w:val="28"/>
          <w:szCs w:val="28"/>
        </w:rPr>
        <w:t xml:space="preserve"> ir ieinteresēta visu jomu izglītības attīstībā, </w:t>
      </w:r>
      <w:r w:rsidR="003A7087">
        <w:rPr>
          <w:rFonts w:ascii="Times New Roman" w:hAnsi="Times New Roman"/>
          <w:noProof/>
          <w:sz w:val="28"/>
          <w:szCs w:val="28"/>
        </w:rPr>
        <w:t>un neveicinot sektorāli atšķirīgas pieejas, īstenos</w:t>
      </w:r>
      <w:r w:rsidRPr="00D539F9">
        <w:rPr>
          <w:rFonts w:ascii="Times New Roman" w:hAnsi="Times New Roman"/>
          <w:noProof/>
          <w:sz w:val="28"/>
          <w:szCs w:val="28"/>
        </w:rPr>
        <w:t xml:space="preserve"> kopēj</w:t>
      </w:r>
      <w:r w:rsidR="003A7087">
        <w:rPr>
          <w:rFonts w:ascii="Times New Roman" w:hAnsi="Times New Roman"/>
          <w:noProof/>
          <w:sz w:val="28"/>
          <w:szCs w:val="28"/>
        </w:rPr>
        <w:t>us,</w:t>
      </w:r>
      <w:r w:rsidRPr="00D539F9">
        <w:rPr>
          <w:rFonts w:ascii="Times New Roman" w:hAnsi="Times New Roman"/>
          <w:noProof/>
          <w:sz w:val="28"/>
          <w:szCs w:val="28"/>
        </w:rPr>
        <w:t xml:space="preserve"> sistēmisk</w:t>
      </w:r>
      <w:r w:rsidR="003A7087">
        <w:rPr>
          <w:rFonts w:ascii="Times New Roman" w:hAnsi="Times New Roman"/>
          <w:noProof/>
          <w:sz w:val="28"/>
          <w:szCs w:val="28"/>
        </w:rPr>
        <w:t>us</w:t>
      </w:r>
      <w:r w:rsidRPr="00D539F9">
        <w:rPr>
          <w:rFonts w:ascii="Times New Roman" w:hAnsi="Times New Roman"/>
          <w:noProof/>
          <w:sz w:val="28"/>
          <w:szCs w:val="28"/>
        </w:rPr>
        <w:t xml:space="preserve"> pārmaiņu proces</w:t>
      </w:r>
      <w:r w:rsidR="003A7087">
        <w:rPr>
          <w:rFonts w:ascii="Times New Roman" w:hAnsi="Times New Roman"/>
          <w:noProof/>
          <w:sz w:val="28"/>
          <w:szCs w:val="28"/>
        </w:rPr>
        <w:t>us</w:t>
      </w:r>
      <w:r w:rsidRPr="00D539F9">
        <w:rPr>
          <w:rFonts w:ascii="Times New Roman" w:hAnsi="Times New Roman"/>
          <w:noProof/>
          <w:sz w:val="28"/>
          <w:szCs w:val="28"/>
        </w:rPr>
        <w:t xml:space="preserve">, kas vērsti uz augstākās izglītības sistēmas efektivitātes paaugstināšanu. </w:t>
      </w:r>
    </w:p>
    <w:p w:rsidR="000049BC" w:rsidRPr="000049BC" w:rsidRDefault="00190804" w:rsidP="000049BC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D539F9">
        <w:rPr>
          <w:rFonts w:ascii="Times New Roman" w:hAnsi="Times New Roman"/>
          <w:noProof/>
          <w:sz w:val="28"/>
          <w:szCs w:val="28"/>
        </w:rPr>
        <w:t>Augstākās izglītības telpas attīstībai i</w:t>
      </w:r>
      <w:r w:rsidRPr="00D539F9">
        <w:rPr>
          <w:rFonts w:ascii="Times New Roman" w:hAnsi="Times New Roman"/>
          <w:noProof/>
          <w:sz w:val="28"/>
          <w:szCs w:val="28"/>
        </w:rPr>
        <w:t xml:space="preserve">r jānotiek visā sistēmā vienlaikus, balstoties uz vienotu pieeju un principiem. </w:t>
      </w:r>
      <w:r w:rsidRPr="000049BC">
        <w:rPr>
          <w:rFonts w:ascii="Times New Roman" w:hAnsi="Times New Roman"/>
          <w:noProof/>
          <w:sz w:val="28"/>
          <w:szCs w:val="28"/>
        </w:rPr>
        <w:t xml:space="preserve">Ministrija ir līdz šim atbalstījusi un arī turpmāk atbalstīs jūrniecības jomas </w:t>
      </w:r>
      <w:r w:rsidRPr="00500E1C">
        <w:rPr>
          <w:rFonts w:ascii="Times New Roman" w:hAnsi="Times New Roman"/>
          <w:noProof/>
          <w:sz w:val="28"/>
          <w:szCs w:val="28"/>
        </w:rPr>
        <w:t>izglītības konsolidāciju, bet vērš uzmanību, ka institucionālie risinājumi t.sk. integrācijas pro</w:t>
      </w:r>
      <w:r w:rsidRPr="00500E1C">
        <w:rPr>
          <w:rFonts w:ascii="Times New Roman" w:hAnsi="Times New Roman"/>
          <w:noProof/>
          <w:sz w:val="28"/>
          <w:szCs w:val="28"/>
        </w:rPr>
        <w:t>cesa virzība un integrācijas pakāpe var būt dažāda. Vēlamies norādīt, ka šāda rakstura izaicinājumi ir vērojami visās augstākās izglītības nozarēs. Dažāda veida integrācijas risinājumi nav unikāli Latvijā</w:t>
      </w:r>
      <w:r w:rsidR="00500E1C" w:rsidRPr="00500E1C">
        <w:rPr>
          <w:rFonts w:ascii="Times New Roman" w:hAnsi="Times New Roman"/>
          <w:noProof/>
          <w:sz w:val="28"/>
          <w:szCs w:val="28"/>
        </w:rPr>
        <w:t xml:space="preserve"> un </w:t>
      </w:r>
      <w:r w:rsidRPr="00500E1C">
        <w:rPr>
          <w:rFonts w:ascii="Times New Roman" w:hAnsi="Times New Roman"/>
          <w:noProof/>
          <w:sz w:val="28"/>
          <w:szCs w:val="28"/>
        </w:rPr>
        <w:t xml:space="preserve">tie šobrīd notiek visā Eiropā, </w:t>
      </w:r>
      <w:r w:rsidR="00500E1C" w:rsidRPr="00500E1C">
        <w:rPr>
          <w:rFonts w:ascii="Times New Roman" w:hAnsi="Times New Roman"/>
          <w:noProof/>
          <w:sz w:val="28"/>
          <w:szCs w:val="28"/>
        </w:rPr>
        <w:t>veicot transformācijas</w:t>
      </w:r>
      <w:r w:rsidRPr="00500E1C">
        <w:rPr>
          <w:rFonts w:ascii="Times New Roman" w:hAnsi="Times New Roman"/>
          <w:noProof/>
          <w:sz w:val="28"/>
          <w:szCs w:val="28"/>
        </w:rPr>
        <w:t>, lai pielāgotos mūsdienu izacinājumiem augstākās izglītības telpā.</w:t>
      </w:r>
      <w:r w:rsidRPr="000049B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E3AEB" w:rsidRDefault="00190804" w:rsidP="00666F5E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C04ED7">
        <w:rPr>
          <w:rFonts w:ascii="Times New Roman" w:hAnsi="Times New Roman"/>
          <w:noProof/>
          <w:sz w:val="28"/>
          <w:szCs w:val="28"/>
        </w:rPr>
        <w:t>Ministrijas skatījumā augstākās izglītības sektora kopējo reformu kontekstā esošā monoprofila institūciju tīkla saglabāšana apdraud, nevis veicina, kvalitatīvas un ilgtspējīgas jūrni</w:t>
      </w:r>
      <w:r w:rsidRPr="00C04ED7">
        <w:rPr>
          <w:rFonts w:ascii="Times New Roman" w:hAnsi="Times New Roman"/>
          <w:noProof/>
          <w:sz w:val="28"/>
          <w:szCs w:val="28"/>
        </w:rPr>
        <w:t>ecības izglītības sistēmas nākotni Latvijā.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6F5E" w:rsidRDefault="00190804" w:rsidP="00666F5E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Ir jāņem vērā, ka starptautiskajā zinātnisko institūciju izvērtējumā Latvijas Jūras akadēmija saņēma kritiski zemus novērtējumu, tomēr, lai attīstītu un pilnveidotu arī akadēmijas pētniecisko potenciālu, ir nepi</w:t>
      </w:r>
      <w:r>
        <w:rPr>
          <w:rFonts w:ascii="Times New Roman" w:hAnsi="Times New Roman"/>
          <w:noProof/>
          <w:sz w:val="28"/>
          <w:szCs w:val="28"/>
        </w:rPr>
        <w:t xml:space="preserve">eciešams </w:t>
      </w:r>
      <w:r w:rsidRPr="00666F5E">
        <w:rPr>
          <w:rFonts w:ascii="Times New Roman" w:hAnsi="Times New Roman"/>
          <w:noProof/>
          <w:sz w:val="28"/>
          <w:szCs w:val="28"/>
        </w:rPr>
        <w:t>atbilstošs personāls, kurš nodarbojas ar pētniecības un starptautiskās sadarbības va</w:t>
      </w:r>
      <w:r>
        <w:rPr>
          <w:rFonts w:ascii="Times New Roman" w:hAnsi="Times New Roman"/>
          <w:noProof/>
          <w:sz w:val="28"/>
          <w:szCs w:val="28"/>
        </w:rPr>
        <w:t xml:space="preserve">dību, kā arī </w:t>
      </w:r>
      <w:r w:rsidRPr="00666F5E">
        <w:rPr>
          <w:rFonts w:ascii="Times New Roman" w:hAnsi="Times New Roman"/>
          <w:noProof/>
          <w:sz w:val="28"/>
          <w:szCs w:val="28"/>
        </w:rPr>
        <w:t>jāfokusējas uz savā</w:t>
      </w:r>
      <w:r>
        <w:rPr>
          <w:rFonts w:ascii="Times New Roman" w:hAnsi="Times New Roman"/>
          <w:noProof/>
          <w:sz w:val="28"/>
          <w:szCs w:val="28"/>
        </w:rPr>
        <w:t xml:space="preserve">m unikālajām pētniecības nišām </w:t>
      </w:r>
      <w:r w:rsidRPr="00666F5E">
        <w:rPr>
          <w:rFonts w:ascii="Times New Roman" w:hAnsi="Times New Roman"/>
          <w:noProof/>
          <w:sz w:val="28"/>
          <w:szCs w:val="28"/>
        </w:rPr>
        <w:t>un spēcīgāk jācenšas piesaistīt ārējo finansējumu, t.sk</w:t>
      </w:r>
      <w:r w:rsidR="00EF3360">
        <w:rPr>
          <w:rFonts w:ascii="Times New Roman" w:hAnsi="Times New Roman"/>
          <w:noProof/>
          <w:sz w:val="28"/>
          <w:szCs w:val="28"/>
        </w:rPr>
        <w:t>.</w:t>
      </w:r>
      <w:r w:rsidRPr="00666F5E">
        <w:rPr>
          <w:rFonts w:ascii="Times New Roman" w:hAnsi="Times New Roman"/>
          <w:noProof/>
          <w:sz w:val="28"/>
          <w:szCs w:val="28"/>
        </w:rPr>
        <w:t xml:space="preserve"> no Eiropas mēroga programmām.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6F5E" w:rsidRPr="00C04ED7" w:rsidRDefault="00190804" w:rsidP="00666F5E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C04ED7">
        <w:rPr>
          <w:rFonts w:ascii="Times New Roman" w:hAnsi="Times New Roman"/>
          <w:noProof/>
          <w:sz w:val="28"/>
          <w:szCs w:val="28"/>
        </w:rPr>
        <w:t xml:space="preserve">Lai gan </w:t>
      </w:r>
      <w:r w:rsidRPr="00C04ED7">
        <w:rPr>
          <w:rFonts w:ascii="Times New Roman" w:hAnsi="Times New Roman"/>
          <w:noProof/>
          <w:sz w:val="28"/>
          <w:szCs w:val="28"/>
        </w:rPr>
        <w:t>prasības izglītības saturam, mācību materiāli tehniskajam nodrošinājumam un sertificēšanas kārtībai nosaka „Starptautiskā konvencija par jūrnieku sagatavošanu un sertificēšanu, kā arī sardzes pildīšanu”, tā nenosaka prasības institucionālajam ietvaram, kād</w:t>
      </w:r>
      <w:r w:rsidRPr="00C04ED7">
        <w:rPr>
          <w:rFonts w:ascii="Times New Roman" w:hAnsi="Times New Roman"/>
          <w:noProof/>
          <w:sz w:val="28"/>
          <w:szCs w:val="28"/>
        </w:rPr>
        <w:t>ā izglītības piedāvājums un kvalitāte ir nodrošināma.</w:t>
      </w:r>
    </w:p>
    <w:p w:rsidR="000B7BC6" w:rsidRDefault="00190804" w:rsidP="00E62E14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F10507">
        <w:rPr>
          <w:rFonts w:ascii="Times New Roman" w:hAnsi="Times New Roman"/>
          <w:noProof/>
          <w:sz w:val="28"/>
          <w:szCs w:val="28"/>
        </w:rPr>
        <w:lastRenderedPageBreak/>
        <w:t>Neatkarīgi no institucionālā ietvara viens no augstskolu pienākumiem ir sadarboties ar nozari, lai īstenotu kvalitatīvu augstāko izglītību, kas atbilst starptautiskajiem standartiem</w:t>
      </w:r>
      <w:r w:rsidR="00C02185">
        <w:rPr>
          <w:rFonts w:ascii="Times New Roman" w:hAnsi="Times New Roman"/>
          <w:noProof/>
          <w:sz w:val="28"/>
          <w:szCs w:val="28"/>
        </w:rPr>
        <w:t>, veidot nozares pieprasījumam atbilstošu studiju programmu piedāvājumu un iesaistīt nozares pārstāvjus studiju satura un kvalitātes pilnveidošanā</w:t>
      </w:r>
      <w:r w:rsidRPr="00F10507">
        <w:rPr>
          <w:rFonts w:ascii="Times New Roman" w:hAnsi="Times New Roman"/>
          <w:noProof/>
          <w:sz w:val="28"/>
          <w:szCs w:val="28"/>
        </w:rPr>
        <w:t xml:space="preserve">. </w:t>
      </w:r>
      <w:r w:rsidR="00666F5E" w:rsidRPr="00C04ED7">
        <w:rPr>
          <w:rFonts w:ascii="Times New Roman" w:hAnsi="Times New Roman"/>
          <w:noProof/>
          <w:sz w:val="28"/>
          <w:szCs w:val="28"/>
        </w:rPr>
        <w:t xml:space="preserve">Saistībā ar augstskolu iekšējās pārvaldības uzlabošanu un augstskolu tipoloģijas pārskatīšanu, lai nostiprinātu starptautiski konkurētspējīgu, pētniecībā balstītu augstāko izglītību, ministrija ir atvērta diskusijām un </w:t>
      </w:r>
      <w:r w:rsidR="00C02185">
        <w:rPr>
          <w:rFonts w:ascii="Times New Roman" w:hAnsi="Times New Roman"/>
          <w:noProof/>
          <w:sz w:val="28"/>
          <w:szCs w:val="28"/>
        </w:rPr>
        <w:t>ir gatava</w:t>
      </w:r>
      <w:r w:rsidR="00666F5E" w:rsidRPr="00C04ED7">
        <w:rPr>
          <w:rFonts w:ascii="Times New Roman" w:hAnsi="Times New Roman"/>
          <w:noProof/>
          <w:sz w:val="28"/>
          <w:szCs w:val="28"/>
        </w:rPr>
        <w:t xml:space="preserve"> turpināt iesāktās sarunas ar Satiksmes ministriju un VAS „Latvijas Jūras administrāciju” </w:t>
      </w:r>
      <w:r w:rsidR="00666F5E" w:rsidRPr="005E3AEB">
        <w:rPr>
          <w:rFonts w:ascii="Times New Roman" w:hAnsi="Times New Roman"/>
          <w:noProof/>
          <w:sz w:val="28"/>
          <w:szCs w:val="28"/>
        </w:rPr>
        <w:t>par labākajiem risinājumiem kvalitatīvas jūrniecības izglītības nodrošināšanai</w:t>
      </w:r>
      <w:r w:rsidR="00E62E1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D539F9" w:rsidRPr="00500E1C" w:rsidRDefault="00190804" w:rsidP="00E62E14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Atkārtoti norādām, ka Izglītības un zinātnes ministrija ir </w:t>
      </w:r>
      <w:r w:rsidRPr="00D539F9">
        <w:rPr>
          <w:rFonts w:ascii="Times New Roman" w:hAnsi="Times New Roman"/>
          <w:noProof/>
          <w:sz w:val="28"/>
          <w:szCs w:val="28"/>
        </w:rPr>
        <w:t xml:space="preserve">par augstākās izglītības politikas </w:t>
      </w:r>
      <w:r w:rsidRPr="00500E1C">
        <w:rPr>
          <w:rFonts w:ascii="Times New Roman" w:hAnsi="Times New Roman"/>
          <w:noProof/>
          <w:sz w:val="28"/>
          <w:szCs w:val="28"/>
        </w:rPr>
        <w:t>plānošanu atbildīgā ministrija</w:t>
      </w:r>
      <w:r w:rsidR="00C02185" w:rsidRPr="00500E1C">
        <w:rPr>
          <w:rFonts w:ascii="Times New Roman" w:hAnsi="Times New Roman"/>
          <w:noProof/>
          <w:sz w:val="28"/>
          <w:szCs w:val="28"/>
        </w:rPr>
        <w:t>, kurai ir jāpilda likumdevēja noteiktie uzdevumi</w:t>
      </w:r>
      <w:r w:rsidRPr="00500E1C">
        <w:rPr>
          <w:rFonts w:ascii="Times New Roman" w:hAnsi="Times New Roman"/>
          <w:noProof/>
          <w:sz w:val="28"/>
          <w:szCs w:val="28"/>
        </w:rPr>
        <w:t xml:space="preserve">, tādēļ gadījumā, ja TAP2027 tiks apstiprinātas </w:t>
      </w:r>
      <w:r w:rsidR="00C02185" w:rsidRPr="00500E1C">
        <w:rPr>
          <w:rFonts w:ascii="Times New Roman" w:hAnsi="Times New Roman"/>
          <w:noProof/>
          <w:sz w:val="28"/>
          <w:szCs w:val="28"/>
        </w:rPr>
        <w:t>iesniegtajā</w:t>
      </w:r>
      <w:r w:rsidRPr="00500E1C">
        <w:rPr>
          <w:rFonts w:ascii="Times New Roman" w:hAnsi="Times New Roman"/>
          <w:noProof/>
          <w:sz w:val="28"/>
          <w:szCs w:val="28"/>
        </w:rPr>
        <w:t xml:space="preserve"> redakcijā, </w:t>
      </w:r>
      <w:r w:rsidR="000B7BC6" w:rsidRPr="00500E1C">
        <w:rPr>
          <w:rFonts w:ascii="Times New Roman" w:hAnsi="Times New Roman"/>
          <w:noProof/>
          <w:sz w:val="28"/>
          <w:szCs w:val="28"/>
        </w:rPr>
        <w:t>tas n</w:t>
      </w:r>
      <w:r w:rsidR="00D27EE9" w:rsidRPr="00500E1C">
        <w:rPr>
          <w:rFonts w:ascii="Times New Roman" w:hAnsi="Times New Roman"/>
          <w:noProof/>
          <w:sz w:val="28"/>
          <w:szCs w:val="28"/>
        </w:rPr>
        <w:t>evar būt</w:t>
      </w:r>
      <w:r w:rsidR="000B7BC6" w:rsidRPr="00500E1C">
        <w:rPr>
          <w:rFonts w:ascii="Times New Roman" w:hAnsi="Times New Roman"/>
          <w:noProof/>
          <w:sz w:val="28"/>
          <w:szCs w:val="28"/>
        </w:rPr>
        <w:t xml:space="preserve"> šķērslis plānoto augstākās izglītības reformu īstenošanai. </w:t>
      </w:r>
      <w:r w:rsidR="00500E1C">
        <w:rPr>
          <w:rFonts w:ascii="Times New Roman" w:hAnsi="Times New Roman"/>
          <w:noProof/>
          <w:sz w:val="28"/>
          <w:szCs w:val="28"/>
        </w:rPr>
        <w:t>Vēlamies uzsvērt, ka ministrijai</w:t>
      </w:r>
      <w:r w:rsidR="000049BC" w:rsidRPr="00500E1C">
        <w:rPr>
          <w:rFonts w:ascii="Times New Roman" w:hAnsi="Times New Roman"/>
          <w:noProof/>
          <w:sz w:val="28"/>
          <w:szCs w:val="28"/>
        </w:rPr>
        <w:t xml:space="preserve"> ir ļoti svarīga </w:t>
      </w:r>
      <w:r w:rsidR="00500E1C">
        <w:rPr>
          <w:rFonts w:ascii="Times New Roman" w:hAnsi="Times New Roman"/>
          <w:noProof/>
          <w:sz w:val="28"/>
          <w:szCs w:val="28"/>
        </w:rPr>
        <w:t xml:space="preserve">jūrniecības </w:t>
      </w:r>
      <w:r w:rsidR="000049BC" w:rsidRPr="00500E1C">
        <w:rPr>
          <w:rFonts w:ascii="Times New Roman" w:hAnsi="Times New Roman"/>
          <w:noProof/>
          <w:sz w:val="28"/>
          <w:szCs w:val="28"/>
        </w:rPr>
        <w:t>nozares izglītības kvalitāte</w:t>
      </w:r>
      <w:r w:rsidR="00500E1C">
        <w:rPr>
          <w:rFonts w:ascii="Times New Roman" w:hAnsi="Times New Roman"/>
          <w:noProof/>
          <w:sz w:val="28"/>
          <w:szCs w:val="28"/>
        </w:rPr>
        <w:t xml:space="preserve"> un </w:t>
      </w:r>
      <w:r w:rsidR="000049BC" w:rsidRPr="00500E1C">
        <w:rPr>
          <w:rFonts w:ascii="Times New Roman" w:hAnsi="Times New Roman"/>
          <w:noProof/>
          <w:sz w:val="28"/>
          <w:szCs w:val="28"/>
        </w:rPr>
        <w:t>tā ir</w:t>
      </w:r>
      <w:r w:rsidR="00500E1C">
        <w:rPr>
          <w:rFonts w:ascii="Times New Roman" w:hAnsi="Times New Roman"/>
          <w:noProof/>
          <w:sz w:val="28"/>
          <w:szCs w:val="28"/>
        </w:rPr>
        <w:t xml:space="preserve"> attiecīgi</w:t>
      </w:r>
      <w:r w:rsidR="000049BC" w:rsidRPr="00500E1C">
        <w:rPr>
          <w:rFonts w:ascii="Times New Roman" w:hAnsi="Times New Roman"/>
          <w:noProof/>
          <w:sz w:val="28"/>
          <w:szCs w:val="28"/>
        </w:rPr>
        <w:t xml:space="preserve"> jāsalāgo ar atbilstošiem institucionāliem risinājumiem.</w:t>
      </w:r>
    </w:p>
    <w:p w:rsidR="00666F5E" w:rsidRDefault="00666F5E" w:rsidP="00666F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8E065F" w:rsidRPr="00D539F9" w:rsidRDefault="008E065F" w:rsidP="00666F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7F4B6D" w:rsidRPr="007F4B6D" w:rsidRDefault="00190804" w:rsidP="009F699A">
      <w:pPr>
        <w:tabs>
          <w:tab w:val="left" w:pos="7371"/>
        </w:tabs>
        <w:spacing w:after="0" w:line="240" w:lineRule="auto"/>
        <w:ind w:firstLine="851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Mini</w:t>
      </w:r>
      <w:r>
        <w:rPr>
          <w:rFonts w:ascii="Times New Roman" w:hAnsi="Times New Roman"/>
          <w:noProof/>
          <w:sz w:val="28"/>
          <w:szCs w:val="28"/>
        </w:rPr>
        <w:t>stre</w:t>
      </w:r>
      <w:r>
        <w:rPr>
          <w:rFonts w:ascii="Times New Roman" w:hAnsi="Times New Roman"/>
          <w:noProof/>
          <w:sz w:val="28"/>
          <w:szCs w:val="28"/>
        </w:rPr>
        <w:tab/>
        <w:t>A. Muižniece</w:t>
      </w:r>
    </w:p>
    <w:p w:rsidR="00047388" w:rsidRDefault="00047388" w:rsidP="00795B1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47388" w:rsidRDefault="00047388" w:rsidP="00795B1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47388" w:rsidRDefault="00047388" w:rsidP="00795B1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47388" w:rsidRDefault="00047388" w:rsidP="00795B1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B704C" w:rsidRPr="00FF6BDF" w:rsidRDefault="00190804" w:rsidP="002262DE">
      <w:pPr>
        <w:spacing w:after="0" w:line="240" w:lineRule="auto"/>
        <w:ind w:left="85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Liene Levada</w:t>
      </w:r>
      <w:r w:rsidR="001A4B3B">
        <w:rPr>
          <w:rFonts w:ascii="Times New Roman" w:hAnsi="Times New Roman"/>
          <w:noProof/>
          <w:sz w:val="20"/>
          <w:szCs w:val="24"/>
        </w:rPr>
        <w:t>, 67047816</w:t>
      </w:r>
    </w:p>
    <w:p w:rsidR="00CB704C" w:rsidRPr="00031BEC" w:rsidRDefault="00190804" w:rsidP="002262DE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FF6BDF">
        <w:rPr>
          <w:rFonts w:ascii="Times New Roman" w:hAnsi="Times New Roman"/>
          <w:noProof/>
          <w:sz w:val="20"/>
          <w:szCs w:val="24"/>
        </w:rPr>
        <w:t>liene.levada@izm.gov.lv</w:t>
      </w:r>
    </w:p>
    <w:p w:rsidR="00047388" w:rsidRPr="00EA466A" w:rsidRDefault="00047388" w:rsidP="002262DE">
      <w:pPr>
        <w:spacing w:after="0" w:line="240" w:lineRule="auto"/>
        <w:ind w:left="851" w:firstLine="851"/>
        <w:rPr>
          <w:rFonts w:ascii="Times New Roman" w:hAnsi="Times New Roman"/>
          <w:sz w:val="20"/>
          <w:szCs w:val="24"/>
        </w:rPr>
      </w:pPr>
    </w:p>
    <w:sectPr w:rsidR="00047388" w:rsidRPr="00EA466A" w:rsidSect="00545D0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04" w:rsidRDefault="00190804">
      <w:pPr>
        <w:spacing w:after="0" w:line="240" w:lineRule="auto"/>
      </w:pPr>
      <w:r>
        <w:separator/>
      </w:r>
    </w:p>
  </w:endnote>
  <w:endnote w:type="continuationSeparator" w:id="0">
    <w:p w:rsidR="00190804" w:rsidRDefault="001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190804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190804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190804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190804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04" w:rsidRDefault="00190804">
      <w:pPr>
        <w:spacing w:after="0" w:line="240" w:lineRule="auto"/>
      </w:pPr>
      <w:r>
        <w:separator/>
      </w:r>
    </w:p>
  </w:footnote>
  <w:footnote w:type="continuationSeparator" w:id="0">
    <w:p w:rsidR="00190804" w:rsidRDefault="001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886770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347" w:rsidRPr="00AB2347" w:rsidRDefault="00190804">
        <w:pPr>
          <w:pStyle w:val="Header"/>
          <w:jc w:val="center"/>
          <w:rPr>
            <w:rFonts w:ascii="Times New Roman" w:hAnsi="Times New Roman"/>
            <w:sz w:val="28"/>
          </w:rPr>
        </w:pPr>
        <w:r w:rsidRPr="00AB2347">
          <w:rPr>
            <w:rFonts w:ascii="Times New Roman" w:hAnsi="Times New Roman"/>
            <w:sz w:val="28"/>
          </w:rPr>
          <w:fldChar w:fldCharType="begin"/>
        </w:r>
        <w:r w:rsidRPr="00AB2347">
          <w:rPr>
            <w:rFonts w:ascii="Times New Roman" w:hAnsi="Times New Roman"/>
            <w:sz w:val="28"/>
          </w:rPr>
          <w:instrText xml:space="preserve"> PAGE   \* MERGEFORMAT </w:instrText>
        </w:r>
        <w:r w:rsidRPr="00AB2347">
          <w:rPr>
            <w:rFonts w:ascii="Times New Roman" w:hAnsi="Times New Roman"/>
            <w:sz w:val="28"/>
          </w:rPr>
          <w:fldChar w:fldCharType="separate"/>
        </w:r>
        <w:r w:rsidR="00D46EB5">
          <w:rPr>
            <w:rFonts w:ascii="Times New Roman" w:hAnsi="Times New Roman"/>
            <w:noProof/>
            <w:sz w:val="28"/>
          </w:rPr>
          <w:t>2</w:t>
        </w:r>
        <w:r w:rsidRPr="00AB2347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DF4495" w:rsidRDefault="00DF44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190804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190804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59385C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3425B2F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59385C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469C1178"/>
    <w:multiLevelType w:val="hybridMultilevel"/>
    <w:tmpl w:val="C2AA72DE"/>
    <w:lvl w:ilvl="0" w:tplc="4AEE0B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BA224A6C" w:tentative="1">
      <w:start w:val="1"/>
      <w:numFmt w:val="lowerLetter"/>
      <w:lvlText w:val="%2."/>
      <w:lvlJc w:val="left"/>
      <w:pPr>
        <w:ind w:left="1931" w:hanging="360"/>
      </w:pPr>
    </w:lvl>
    <w:lvl w:ilvl="2" w:tplc="6FACAA1A" w:tentative="1">
      <w:start w:val="1"/>
      <w:numFmt w:val="lowerRoman"/>
      <w:lvlText w:val="%3."/>
      <w:lvlJc w:val="right"/>
      <w:pPr>
        <w:ind w:left="2651" w:hanging="180"/>
      </w:pPr>
    </w:lvl>
    <w:lvl w:ilvl="3" w:tplc="3E6C1F42" w:tentative="1">
      <w:start w:val="1"/>
      <w:numFmt w:val="decimal"/>
      <w:lvlText w:val="%4."/>
      <w:lvlJc w:val="left"/>
      <w:pPr>
        <w:ind w:left="3371" w:hanging="360"/>
      </w:pPr>
    </w:lvl>
    <w:lvl w:ilvl="4" w:tplc="9E80419A" w:tentative="1">
      <w:start w:val="1"/>
      <w:numFmt w:val="lowerLetter"/>
      <w:lvlText w:val="%5."/>
      <w:lvlJc w:val="left"/>
      <w:pPr>
        <w:ind w:left="4091" w:hanging="360"/>
      </w:pPr>
    </w:lvl>
    <w:lvl w:ilvl="5" w:tplc="30022B48" w:tentative="1">
      <w:start w:val="1"/>
      <w:numFmt w:val="lowerRoman"/>
      <w:lvlText w:val="%6."/>
      <w:lvlJc w:val="right"/>
      <w:pPr>
        <w:ind w:left="4811" w:hanging="180"/>
      </w:pPr>
    </w:lvl>
    <w:lvl w:ilvl="6" w:tplc="C7582782" w:tentative="1">
      <w:start w:val="1"/>
      <w:numFmt w:val="decimal"/>
      <w:lvlText w:val="%7."/>
      <w:lvlJc w:val="left"/>
      <w:pPr>
        <w:ind w:left="5531" w:hanging="360"/>
      </w:pPr>
    </w:lvl>
    <w:lvl w:ilvl="7" w:tplc="1ECE2D10" w:tentative="1">
      <w:start w:val="1"/>
      <w:numFmt w:val="lowerLetter"/>
      <w:lvlText w:val="%8."/>
      <w:lvlJc w:val="left"/>
      <w:pPr>
        <w:ind w:left="6251" w:hanging="360"/>
      </w:pPr>
    </w:lvl>
    <w:lvl w:ilvl="8" w:tplc="2DC425C4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49BC"/>
    <w:rsid w:val="00006384"/>
    <w:rsid w:val="000120DB"/>
    <w:rsid w:val="00030349"/>
    <w:rsid w:val="00031BEC"/>
    <w:rsid w:val="00036120"/>
    <w:rsid w:val="00047388"/>
    <w:rsid w:val="00064024"/>
    <w:rsid w:val="000964E5"/>
    <w:rsid w:val="000B7BC6"/>
    <w:rsid w:val="000E485C"/>
    <w:rsid w:val="000F16D6"/>
    <w:rsid w:val="001009A5"/>
    <w:rsid w:val="00117AB0"/>
    <w:rsid w:val="00124173"/>
    <w:rsid w:val="00190804"/>
    <w:rsid w:val="00193793"/>
    <w:rsid w:val="00195C92"/>
    <w:rsid w:val="001A4B3B"/>
    <w:rsid w:val="001D1643"/>
    <w:rsid w:val="001E6FBF"/>
    <w:rsid w:val="00201158"/>
    <w:rsid w:val="0021556E"/>
    <w:rsid w:val="002262DE"/>
    <w:rsid w:val="00275B9E"/>
    <w:rsid w:val="00295865"/>
    <w:rsid w:val="002A4E28"/>
    <w:rsid w:val="002B3077"/>
    <w:rsid w:val="002E1474"/>
    <w:rsid w:val="003057C4"/>
    <w:rsid w:val="00335032"/>
    <w:rsid w:val="00377006"/>
    <w:rsid w:val="00386FBD"/>
    <w:rsid w:val="003A1D13"/>
    <w:rsid w:val="003A7087"/>
    <w:rsid w:val="003D1F3C"/>
    <w:rsid w:val="003D79CB"/>
    <w:rsid w:val="00401EBC"/>
    <w:rsid w:val="004075FC"/>
    <w:rsid w:val="00436A5D"/>
    <w:rsid w:val="00437625"/>
    <w:rsid w:val="00493308"/>
    <w:rsid w:val="004B0842"/>
    <w:rsid w:val="004B48FD"/>
    <w:rsid w:val="004B6949"/>
    <w:rsid w:val="00500E1C"/>
    <w:rsid w:val="00523574"/>
    <w:rsid w:val="00535564"/>
    <w:rsid w:val="00545D03"/>
    <w:rsid w:val="00586438"/>
    <w:rsid w:val="0059385C"/>
    <w:rsid w:val="0059423B"/>
    <w:rsid w:val="005A3340"/>
    <w:rsid w:val="005A5881"/>
    <w:rsid w:val="005B1C2B"/>
    <w:rsid w:val="005C4574"/>
    <w:rsid w:val="005E3AEB"/>
    <w:rsid w:val="005F6BEF"/>
    <w:rsid w:val="005F782A"/>
    <w:rsid w:val="00617899"/>
    <w:rsid w:val="0065527F"/>
    <w:rsid w:val="00663C3A"/>
    <w:rsid w:val="00666F5E"/>
    <w:rsid w:val="006C1639"/>
    <w:rsid w:val="006F0824"/>
    <w:rsid w:val="006F6E62"/>
    <w:rsid w:val="00700F22"/>
    <w:rsid w:val="007117F5"/>
    <w:rsid w:val="00736626"/>
    <w:rsid w:val="00740C11"/>
    <w:rsid w:val="00747AF2"/>
    <w:rsid w:val="00747CCB"/>
    <w:rsid w:val="007704BD"/>
    <w:rsid w:val="00795B1B"/>
    <w:rsid w:val="007A7503"/>
    <w:rsid w:val="007B3BA5"/>
    <w:rsid w:val="007B48EC"/>
    <w:rsid w:val="007B6A32"/>
    <w:rsid w:val="007E4D1F"/>
    <w:rsid w:val="007E7FEB"/>
    <w:rsid w:val="007F4B6D"/>
    <w:rsid w:val="00812588"/>
    <w:rsid w:val="00815277"/>
    <w:rsid w:val="00876C21"/>
    <w:rsid w:val="008E065F"/>
    <w:rsid w:val="008F1DDB"/>
    <w:rsid w:val="00916656"/>
    <w:rsid w:val="00951F9F"/>
    <w:rsid w:val="00954D5A"/>
    <w:rsid w:val="00961C77"/>
    <w:rsid w:val="009630F4"/>
    <w:rsid w:val="009B0D9F"/>
    <w:rsid w:val="009B1B57"/>
    <w:rsid w:val="009B3D98"/>
    <w:rsid w:val="009F699A"/>
    <w:rsid w:val="00A16225"/>
    <w:rsid w:val="00A17275"/>
    <w:rsid w:val="00A631D2"/>
    <w:rsid w:val="00A63C2A"/>
    <w:rsid w:val="00A91143"/>
    <w:rsid w:val="00AB2347"/>
    <w:rsid w:val="00AC315D"/>
    <w:rsid w:val="00AC5E2E"/>
    <w:rsid w:val="00AC7D93"/>
    <w:rsid w:val="00AE15A8"/>
    <w:rsid w:val="00B33CAE"/>
    <w:rsid w:val="00B408C9"/>
    <w:rsid w:val="00B853FC"/>
    <w:rsid w:val="00BA0215"/>
    <w:rsid w:val="00BA2A5B"/>
    <w:rsid w:val="00BC5856"/>
    <w:rsid w:val="00BE2408"/>
    <w:rsid w:val="00BF0082"/>
    <w:rsid w:val="00C02185"/>
    <w:rsid w:val="00C04ED7"/>
    <w:rsid w:val="00C22423"/>
    <w:rsid w:val="00C47F57"/>
    <w:rsid w:val="00C72769"/>
    <w:rsid w:val="00C8203F"/>
    <w:rsid w:val="00C839A6"/>
    <w:rsid w:val="00CB704C"/>
    <w:rsid w:val="00CC73C1"/>
    <w:rsid w:val="00D03CE6"/>
    <w:rsid w:val="00D21FA6"/>
    <w:rsid w:val="00D27EE9"/>
    <w:rsid w:val="00D37335"/>
    <w:rsid w:val="00D46EB5"/>
    <w:rsid w:val="00D539F9"/>
    <w:rsid w:val="00D55B4B"/>
    <w:rsid w:val="00D64CF7"/>
    <w:rsid w:val="00D67FD6"/>
    <w:rsid w:val="00DD1177"/>
    <w:rsid w:val="00DF4495"/>
    <w:rsid w:val="00E365CE"/>
    <w:rsid w:val="00E4369B"/>
    <w:rsid w:val="00E46CFE"/>
    <w:rsid w:val="00E62E14"/>
    <w:rsid w:val="00E63E9A"/>
    <w:rsid w:val="00EA466A"/>
    <w:rsid w:val="00EF3360"/>
    <w:rsid w:val="00F003A6"/>
    <w:rsid w:val="00F10507"/>
    <w:rsid w:val="00F2080D"/>
    <w:rsid w:val="00F22159"/>
    <w:rsid w:val="00F60586"/>
    <w:rsid w:val="00F67373"/>
    <w:rsid w:val="00F841CC"/>
    <w:rsid w:val="00FF6B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17899"/>
    <w:pPr>
      <w:ind w:left="720"/>
      <w:contextualSpacing/>
    </w:pPr>
  </w:style>
  <w:style w:type="paragraph" w:styleId="Revision">
    <w:name w:val="Revision"/>
    <w:hidden/>
    <w:uiPriority w:val="99"/>
    <w:semiHidden/>
    <w:rsid w:val="00740C11"/>
    <w:rPr>
      <w:sz w:val="22"/>
      <w:szCs w:val="2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1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507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507"/>
    <w:rPr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2021-10-06T18:31:00Z</dcterms:created>
  <dcterms:modified xsi:type="dcterms:W3CDTF">2021-10-06T18:31:00Z</dcterms:modified>
</cp:coreProperties>
</file>